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09FAA" w14:textId="48E655B6" w:rsidR="00782768" w:rsidRPr="00782768" w:rsidRDefault="00782768">
      <w:pPr>
        <w:rPr>
          <w:rStyle w:val="Referenciaintensa"/>
          <w:color w:val="auto"/>
        </w:rPr>
      </w:pPr>
      <w:r w:rsidRPr="00782768">
        <w:rPr>
          <w:rStyle w:val="Referenciaintensa"/>
          <w:color w:val="auto"/>
        </w:rPr>
        <w:t>Formato: 0391_LRC_CodigoSujeto_CodigoPeriodo</w:t>
      </w:r>
    </w:p>
    <w:p w14:paraId="47730A3F" w14:textId="0694146A" w:rsidR="00782768" w:rsidRPr="00782768" w:rsidRDefault="00782768">
      <w:pPr>
        <w:rPr>
          <w:rStyle w:val="Referenciaintensa"/>
        </w:rPr>
      </w:pPr>
      <w:r>
        <w:rPr>
          <w:rStyle w:val="Referenciaintensa"/>
        </w:rPr>
        <w:t xml:space="preserve">Resolución judicial de expediente que constituye aplicación de recursos del fondo </w:t>
      </w:r>
      <w:r w:rsidR="00A02ADC">
        <w:rPr>
          <w:rStyle w:val="Referenciaintensa"/>
        </w:rPr>
        <w:t>contingente</w:t>
      </w:r>
      <w:r>
        <w:rPr>
          <w:rStyle w:val="Referenciaintensa"/>
        </w:rPr>
        <w:t>. ( sentencias, laudos, incidentes, liquidación, etc.)</w:t>
      </w:r>
      <w:r w:rsidR="00650E3C">
        <w:rPr>
          <w:rStyle w:val="Referenciaintensa"/>
        </w:rPr>
        <w:t>(pdf)</w:t>
      </w:r>
    </w:p>
    <w:sectPr w:rsidR="00782768" w:rsidRPr="007827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68"/>
    <w:rsid w:val="00650E3C"/>
    <w:rsid w:val="00782768"/>
    <w:rsid w:val="00A0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3262B"/>
  <w15:chartTrackingRefBased/>
  <w15:docId w15:val="{E29DE31F-D3DD-41D8-A1F4-C22906993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782768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168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Raúl Sanchez</cp:lastModifiedBy>
  <cp:revision>3</cp:revision>
  <dcterms:created xsi:type="dcterms:W3CDTF">2022-11-02T21:55:00Z</dcterms:created>
  <dcterms:modified xsi:type="dcterms:W3CDTF">2022-11-15T18:00:00Z</dcterms:modified>
</cp:coreProperties>
</file>